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18 116 vom 19. Juli 2006</w:t>
      </w:r>
    </w:p>
    <w:p>
      <w:r>
        <w:t>BL Gerichte, 2006-07-19, DE</w:t>
      </w:r>
    </w:p>
    <w:p>
      <w:r>
        <w:rPr>
          <w:b/>
        </w:rPr>
        <w:t xml:space="preserve">Quelle: </w:t>
      </w:r>
      <w:r>
        <w:t>https://mcp.opencaselaw.ch/entscheid/bl_gerichte_810 18 116</w:t>
      </w:r>
    </w:p>
    <w:p>
      <w:r>
        <w:t>FR: BL_GERICHTE 810 18 116 du 19 juillet 2006</w:t>
      </w:r>
    </w:p>
    <w:p>
      <w:r>
        <w:t>IT: BL_GERICHTE 810 18 116 del 19 luglio 2006</w:t>
      </w:r>
    </w:p>
    <w:p>
      <w:pPr>
        <w:pStyle w:val="Heading2"/>
      </w:pPr>
      <w:r>
        <w:t>Regeste</w:t>
      </w:r>
    </w:p>
    <w:p>
      <w:r>
        <w:t>Bedingte Entlassung aus dem Massnahmenvollzug mit Weisungen (RRB Nr. 559 vom 17. April 2018)</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Beschwerde gegeben. Der Beschwerdeführer ist vom angefochtenen Entscheid berührt und hat ein schutzwürdiges Interesse an dessen Aufhebung. Auch die weiteren formellen Voraussetzungen sind erfüllt, sodass auf die Beschwerde einzutreten ist.</w:t>
      </w:r>
    </w:p>
    <w:p>
      <w:r>
        <w:rPr>
          <w:b/>
        </w:rPr>
        <w:t>E. 2</w:t>
      </w:r>
    </w:p>
    <w:p>
      <w:r>
        <w:t>Bei der Beurteilung der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Der Beschwerdegegner hat dem Beschwerdeführer eine Parteientschädigung in der Höhe von Fr. 2'590.55 (inkl. Auslagen und 7.7% MWST) auszurichten.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